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как-стать-суперхозяином"/>
    <w:p>
      <w:pPr>
        <w:pStyle w:val="Heading3"/>
      </w:pPr>
      <w:r>
        <w:t xml:space="preserve">Как стать суперхозяином?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Советы ветеринаров, приюты и волонтерские проекты Москвы можно посмотреть по ссылке: https://www.mos.ru/city/projects/pets/</w:t>
      </w:r>
    </w:p>
    <w:p>
      <w:pPr>
        <w:pStyle w:val="BodyText"/>
      </w:pPr>
      <w:r>
        <w:t xml:space="preserve">А также:</w:t>
      </w:r>
    </w:p>
    <w:p>
      <w:pPr>
        <w:pStyle w:val="BodyText"/>
      </w:pPr>
      <w:r>
        <w:drawing>
          <wp:inline>
            <wp:extent cx="5334000" cy="16483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93b/689yk3ni016e4z0h4eufg3lva0fnxyh3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044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cda/9km53lk8syd8y0vqmey2tyb4g0ls0jf5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044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http://preobr.mos.ru/the-state-veterinary-service/detail/11387718.html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the-state-veterinary-service/detail/11387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the-state-veterinary-service/detail/11387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2024-09-27T05:10:07Z</dcterms:created>
  <dcterms:modified xsi:type="dcterms:W3CDTF">2024-09-27T05:10:07Z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