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dcc5233516bfbd46a93e5ee062a118cfa34a7"/>
    <w:p>
      <w:pPr>
        <w:pStyle w:val="Heading3"/>
      </w:pPr>
      <w:r>
        <w:t xml:space="preserve">ГРАФИК проведения вакцинаций против бешенства госветслужбой ВАО города Москвы в 2021 году</w:t>
      </w:r>
    </w:p>
    <w:p>
      <w:pPr>
        <w:pStyle w:val="FirstParagraph"/>
      </w:pPr>
      <w:r>
        <w:t xml:space="preserve">25.06.2021</w:t>
      </w:r>
    </w:p>
    <w:p>
      <w:pPr>
        <w:pStyle w:val="BodyText"/>
      </w:pPr>
      <w:r>
        <w:drawing>
          <wp:inline>
            <wp:extent cx="5334000" cy="4903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57c/snimo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03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http://preobr.mos.ru/the-state-veterinary-service/detail/10057683.html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the-state-veterinary-service/detail/10057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the-state-veterinary-service/detail/10057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2024-09-27T05:10:10Z</dcterms:created>
  <dcterms:modified xsi:type="dcterms:W3CDTF">2024-09-27T05:10:10Z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