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rPr>
          <w:bCs/>
          <w:b/>
        </w:rP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BodyText"/>
      </w:pPr>
      <w:r>
        <w:rPr>
          <w:iCs/>
          <w:i/>
        </w:rPr>
        <w:t xml:space="preserve">Компания дала разъяснения на вопросы кадастровых инженеров</w:t>
      </w:r>
    </w:p>
    <w:p>
      <w:pPr>
        <w:pStyle w:val="BodyText"/>
      </w:pPr>
      <w:r>
        <w:rPr>
          <w:bCs/>
          <w:b/>
        </w:rP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Может, Федеральным законом от 24.07.2007 № 221-ФЗ</w:t>
      </w:r>
      <w:r>
        <w:br/>
      </w:r>
      <w:r>
        <w:t xml:space="preserve">«О кадастровой деятельности» (далее – Закон) и Требованиями № П/0337</w:t>
      </w:r>
      <w:r>
        <w:br/>
      </w:r>
      <w:r>
        <w:rPr>
          <w:iCs/>
          <w:i/>
          <w:bCs/>
          <w:b/>
        </w:rPr>
        <w:t xml:space="preserve">не установлен запрет</w:t>
      </w:r>
      <w:r>
        <w:t xml:space="preserve"> </w:t>
      </w:r>
      <w:r>
        <w:t xml:space="preserve">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 такой орган, либо в орган местного самоуправления муниципального района, муниципального округа или городского округа.</w:t>
      </w:r>
    </w:p>
    <w:p>
      <w:pPr>
        <w:pStyle w:val="BodyText"/>
      </w:pPr>
      <w:r>
        <w:t xml:space="preserve">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</w:t>
      </w:r>
      <w:r>
        <w:br/>
      </w:r>
      <w:r>
        <w:t xml:space="preserve">(за исключением линейных объектов), а также объектов незавершенного строительства, сведения о которых содержатся в ЕГРН.</w:t>
      </w:r>
    </w:p>
    <w:p>
      <w:pPr>
        <w:pStyle w:val="BodyText"/>
      </w:pPr>
      <w:r>
        <w:t xml:space="preserve">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</w:t>
      </w:r>
    </w:p>
    <w:p>
      <w:pPr>
        <w:pStyle w:val="BodyText"/>
      </w:pPr>
      <w:r>
        <w:rPr>
          <w:iCs/>
          <w:i/>
        </w:rPr>
        <w:t xml:space="preserve">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http://preobr.mos.ru/rosreestr/detail/12270885.html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270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270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2024-09-27T05:42:33Z</dcterms:created>
  <dcterms:modified xsi:type="dcterms:W3CDTF">2024-09-27T05:42:33Z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