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жителей столицы о законодательных изменениях, касающихся домов блокированной застройки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 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 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 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 и вида разрешенного использования объекта недвижимости в соответствии 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 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</w:t>
      </w:r>
    </w:p>
    <w:p>
      <w:pPr>
        <w:pStyle w:val="BodyText"/>
      </w:pPr>
      <w:r>
        <w:t xml:space="preserve">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</w:t>
      </w:r>
    </w:p>
    <w:p>
      <w:pPr>
        <w:pStyle w:val="BodyText"/>
      </w:pPr>
      <w:r>
        <w:t xml:space="preserve">и государственной регистрации прав на образуемые земельные участки 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 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http://preobr.mos.ru/rosreestr/detail/11286683.html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286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286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2024-09-27T05:38:20Z</dcterms:created>
  <dcterms:modified xsi:type="dcterms:W3CDTF">2024-09-27T05:38:20Z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