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e7f1514a5627feb2acf2d192686d6b5c238f60"/>
    <w:p>
      <w:pPr>
        <w:pStyle w:val="Heading3"/>
      </w:pPr>
      <w:r>
        <w:t xml:space="preserve">Предоставление льгот по налогу на имущество физических лиц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drawing>
          <wp:inline>
            <wp:extent cx="5334000" cy="7699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be/y3wrv18vuuz62kwmsnt85x4muuvd5yog/photo_5408993920827909193_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771347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bd0/e0g42mextk48r7wt3ootbmg4o0oclwmg/photo_5408993920827909194_x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34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769916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3f2/q8j7nus94odmzx3is7iuonlpmcik017w/photo_5408993920827909195_x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http://preobr.mos.ru/presscenter/officially/detail/12562201.html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presscenter/officially/detail/12562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presscenter/officially/detail/12562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2025-07-18T07:30:08Z</dcterms:created>
  <dcterms:modified xsi:type="dcterms:W3CDTF">2025-07-18T07:30:08Z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