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d467dc15dd44012909b0a95b5fc75e7d3eb24"/>
    <w:p>
      <w:pPr>
        <w:pStyle w:val="Heading3"/>
      </w:pPr>
      <w:r>
        <w:t xml:space="preserve">График проведения ИФНС России № 18 по г. Москве дополнительного онлайн-вебинара с налогоплательщиками в 3 квартал 2024 года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drawing>
          <wp:inline>
            <wp:extent cx="5334000" cy="7754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8ba/gv0l0fy84gltwmjbdq33y073lu8ly2tk/photo_5406744762419108737_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http://preobr.mos.ru/presscenter/officially/detail/12562148.html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officially/detail/12562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officially/detail/12562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2025-07-16T14:32:11Z</dcterms:created>
  <dcterms:modified xsi:type="dcterms:W3CDTF">2025-07-16T14:32:11Z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