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57f492c62715177c18878a5cfcd1f132954c5d5"/>
    <w:p>
      <w:pPr>
        <w:pStyle w:val="Heading3"/>
      </w:pPr>
      <w:r>
        <w:t xml:space="preserve">Зачем закатывают в асфальт и искусственные покрытия детские площадки.</w:t>
      </w:r>
    </w:p>
    <w:p>
      <w:pPr>
        <w:pStyle w:val="FirstParagraph"/>
      </w:pPr>
      <w:r>
        <w:t xml:space="preserve">26.06.2013</w:t>
      </w:r>
    </w:p>
    <w:p>
      <w:pPr>
        <w:pStyle w:val="BodyText"/>
      </w:pPr>
      <w:r>
        <w:t xml:space="preserve">Асфальтобетонное покрытие на детских площадках укладывается, как основание под безопасное резиновое покрытие, согласно технологии устройства резиновых покрытий.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http://preobr.mos.ru/presscenter/news/detail/735866.html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Преображенское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6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preobr.mos.ru" TargetMode="External" /><Relationship Type="http://schemas.openxmlformats.org/officeDocument/2006/relationships/hyperlink" Id="rId20" Target="http://preobr.mos.ru/presscenter/news/detail/73586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2024-09-27T05:24:58Z</dcterms:created>
  <dcterms:modified xsi:type="dcterms:W3CDTF">2024-09-27T05:24:58Z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