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d73cc1956f654d3341c852cb28343a37e39bb1"/>
    <w:p>
      <w:pPr>
        <w:pStyle w:val="Heading3"/>
      </w:pPr>
      <w:r>
        <w:t xml:space="preserve">Разъясните причины ежегодного ремонта асфальта на дворовых территориях домов №№2-4 по Б. Черкизовской ул.</w:t>
      </w:r>
    </w:p>
    <w:p>
      <w:pPr>
        <w:pStyle w:val="FirstParagraph"/>
      </w:pPr>
      <w:r>
        <w:t xml:space="preserve">17.05.2013</w:t>
      </w:r>
    </w:p>
    <w:p>
      <w:pPr>
        <w:pStyle w:val="BodyText"/>
      </w:pPr>
      <w:r>
        <w:t xml:space="preserve">На указанных дворовых территориях в весенний период производился ямочный ремонт асфальтобетонного покрытия подрядной организацией ООО «Ремдорсервис-94» по обращениям жителей на портал «Наш город».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http://preobr.mos.ru/presscenter/news/detail/704101.html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1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1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2025-07-21T21:33:59Z</dcterms:created>
  <dcterms:modified xsi:type="dcterms:W3CDTF">2025-07-21T21:33:59Z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