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2eb64ff5238cdd9b792d4076a24cdab878f638"/>
    <w:p>
      <w:pPr>
        <w:pStyle w:val="Heading3"/>
      </w:pPr>
      <w:r>
        <w:t xml:space="preserve">Прошу установить антипарковочные столбики между 11 и 12 подъездами д.6 корп.2 по ул. Богородский вал.</w:t>
      </w:r>
    </w:p>
    <w:p>
      <w:pPr>
        <w:pStyle w:val="FirstParagraph"/>
      </w:pPr>
      <w:r>
        <w:t xml:space="preserve">17.05.2013</w:t>
      </w:r>
    </w:p>
    <w:p>
      <w:pPr>
        <w:pStyle w:val="BodyText"/>
      </w:pPr>
      <w:r>
        <w:t xml:space="preserve">С целью ограничения парковки автотранспорта на пешеходных тротуарах по указанному адресу, ООО «УК ЮНИ-ДОМ» завершены работы по установке антипарковочных столбиков.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http://preobr.mos.ru/presscenter/news/detail/704100.html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1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1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2025-05-25T08:22:34Z</dcterms:created>
  <dcterms:modified xsi:type="dcterms:W3CDTF">2025-05-25T08:22:34Z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