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75e690f6d28a56ca68c739004f69d69b9e1a"/>
    <w:p>
      <w:pPr>
        <w:pStyle w:val="Heading3"/>
      </w:pPr>
      <w:r>
        <w:t xml:space="preserve">Дворец «Преображенский» готовится к театральному фестивалю «Точка_Точка_Запятая»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t xml:space="preserve">Фестиваль проводится в рамках XXII Открытого фестиваля детского и юношеского творчества "Золотой ключик".</w:t>
      </w:r>
    </w:p>
    <w:p>
      <w:pPr>
        <w:pStyle w:val="BodyText"/>
      </w:pPr>
      <w:r>
        <w:t xml:space="preserve">Дворец творчества детей и молодежи «Преображенский» не первый год принимает у себя юных артистов. В этом году Открытый театральный фестиваль "Точка_Точка_Запятая" стартует 10 марта и завершит работу 17 апреля. В нем примут участие детские и молодёжные театральные студии Москвы. Заявки для участия в фестивале принимаются до 10 марта. Состав участников очного финального этапа объявят 20 марта. Как всегда, публика ждет от «театрального месячника» интересных и талантливых актерских и режиссерских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http://preobr.mos.ru/presscenter/news/detail/2562766.html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2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2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2025-07-02T23:49:27Z</dcterms:created>
  <dcterms:modified xsi:type="dcterms:W3CDTF">2025-07-02T23:49:27Z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