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5a157ce72f81034f657e40852b4f1173407f9"/>
    <w:p>
      <w:pPr>
        <w:pStyle w:val="Heading3"/>
      </w:pPr>
      <w:r>
        <w:t xml:space="preserve">В Восточном АО в 2014 году благоустроено 418 дворов и 3 пешеходные зоны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t xml:space="preserve">По традиции, существующей в столице уже несколько лет, к началу сентября во всех округах завершились работы по благоустройству. В рамках государственной программы «Жилище» в ВАО комплексно отремонтированы 418 дворовых территорий и обустроены три пешеходные зоны.</w:t>
      </w:r>
    </w:p>
    <w:p>
      <w:pPr>
        <w:pStyle w:val="BodyText"/>
      </w:pPr>
      <w:r>
        <w:t xml:space="preserve">Во дворах проведены работы по ремонту детских и спортивных площадок, замене малых архитектурных форм, приведению в порядок контейнерных площадок, посадке деревьев и кустарников. Кроме того, организованы парковочные места, установлено освещение. Для маломобильных групп населения проведены работы по понижению уровня бортового камня.</w:t>
      </w:r>
    </w:p>
    <w:p>
      <w:pPr>
        <w:pStyle w:val="BodyText"/>
      </w:pPr>
      <w:r>
        <w:t xml:space="preserve">Все лето в округе проводились мероприятия по обустройству пешеходных зон.</w:t>
      </w:r>
    </w:p>
    <w:p>
      <w:pPr>
        <w:pStyle w:val="BodyText"/>
      </w:pPr>
      <w:r>
        <w:t xml:space="preserve">В нынешнем году новые прогулочные маршруты появились в Гольяново (Байкальская ул., д.30, к.2-4; Байкальскакя ул., д.38, к.2-4), Перово (шоссе Энтузиастов, д.72 – 3-я Владимирская ул., д.10) и в районе Ивановское (ул. Сталеваров, д.4). Места для пеших прогулок оборудовали тротуарной плиткой, установили освещение, лавочки, устроили газон с клумбами и мощеными дорожками. Вдоль пешеходных зон посадили деревья и кустарники.</w:t>
      </w:r>
    </w:p>
    <w:p>
      <w:pPr>
        <w:pStyle w:val="BodyText"/>
      </w:pPr>
      <w:r>
        <w:t xml:space="preserve">Важной особенностью проведения городской программы по благоустройству является применение комплексного подхода при планировании и проведении работ. Перечень всех видов работ и адресная программа составляются на основании пожеланий жителей округа и согласуются с муниципальными депутатами.</w:t>
      </w:r>
    </w:p>
    <w:p>
      <w:pPr>
        <w:pStyle w:val="BodyText"/>
      </w:pPr>
      <w:r>
        <w:t xml:space="preserve">В текущем году жители и депутаты не только снова разрабатывали проекты, но и принимали непосредственное участие в приемке объектов вместе с государственным заказчиком – ГКУ ИС районов, а также префектурой, Филиалом ГКУ «Дирекция ЖКХиБ ВАО», управами районов и окружной АТИ. Совместными усилиями создается комфортная среда для всех категорий населения – от самых юных жителей до пожилых граждан.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http://preobr.mos.ru/presscenter/news/detail/1272344.html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72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72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2025-06-16T12:53:11Z</dcterms:created>
  <dcterms:modified xsi:type="dcterms:W3CDTF">2025-06-16T12:53:11Z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