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f27fccd874d526d5d38b2892dfa9fe6e534bc"/>
    <w:p>
      <w:pPr>
        <w:pStyle w:val="Heading3"/>
      </w:pPr>
      <w:r>
        <w:t xml:space="preserve">Утверждены предельные индексы изменения платежа за коммунальные услуги</w:t>
      </w:r>
    </w:p>
    <w:p>
      <w:pPr>
        <w:pStyle w:val="FirstParagraph"/>
      </w:pPr>
      <w:r>
        <w:t xml:space="preserve">09.07.2014</w:t>
      </w:r>
    </w:p>
    <w:p>
      <w:pPr>
        <w:pStyle w:val="BodyText"/>
      </w:pPr>
      <w:r>
        <w:t xml:space="preserve">Сергей Собянин утвердил распоряжение от 30.06.2014г. №542-РМ «О предельных (максимальных) индексах изменения размера вносимой гражданами платы за коммунальные услуги в городе Москве».</w:t>
      </w:r>
    </w:p>
    <w:p>
      <w:pPr>
        <w:pStyle w:val="BodyText"/>
      </w:pPr>
      <w:r>
        <w:t xml:space="preserve">Согласно распоряжению Мэра Москвы, с 01 ноября 2014 года индекс составит для Москвы 6.5%, а для присоединенных территорий – 3.5% с 1 июля 2014 года.</w:t>
      </w:r>
    </w:p>
    <w:p>
      <w:pPr>
        <w:pStyle w:val="BodyText"/>
      </w:pPr>
      <w:r>
        <w:t xml:space="preserve">Индексы устанавливаются на долгосрочный период и задают ориентиры для всех тарифов. На 2015-2018 гг. индексы будут утверждаться по формулам, привязанным к уровню инфляции.</w:t>
      </w:r>
    </w:p>
    <w:p>
      <w:pPr>
        <w:pStyle w:val="BodyText"/>
      </w:pPr>
      <w:r>
        <w:t xml:space="preserve">При этом предельные (максимальные) индексы применяются при сопоставимых условиях предоставления коммунальных услуг (неизменный набор, объем потребляемых коммунальных услуг, неизменный порядок их оплаты).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http://preobr.mos.ru/presscenter/news/detail/1116648.html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1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1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2025-06-16T03:24:09Z</dcterms:created>
  <dcterms:modified xsi:type="dcterms:W3CDTF">2025-06-16T03:24:09Z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