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154fd298a2f817e569ca8bc1f329b4524b9740"/>
    <w:p>
      <w:pPr>
        <w:pStyle w:val="Heading3"/>
      </w:pPr>
      <w:r>
        <w:t xml:space="preserve">КРИТЕРИИ УБОРКИ ЛИСТВЫ С ГОРОДСКИХ ТЕРРИТОРИЙ</w:t>
      </w:r>
    </w:p>
    <w:p>
      <w:pPr>
        <w:pStyle w:val="FirstParagraph"/>
      </w:pPr>
      <w:r>
        <w:t xml:space="preserve">06.11.2019</w:t>
      </w:r>
    </w:p>
    <w:p>
      <w:pPr>
        <w:pStyle w:val="BodyText"/>
      </w:pPr>
      <w:r>
        <w:drawing>
          <wp:inline>
            <wp:extent cx="5334000" cy="369018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preobr.mos.ru/www/КРИТЕРИИ%20УБОРКИ%20ЛИСТВЫ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901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http://preobr.mos.ru/housing-and-communal-services/helpful-information/detail/8468307.html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housing-and-communal-services/helpful-information/detail/84683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housing-and-communal-services/helpful-information/detail/84683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2025-04-10T02:10:41Z</dcterms:created>
  <dcterms:modified xsi:type="dcterms:W3CDTF">2025-04-10T02:10:41Z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