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уклет.-эстафета-добрых-дел"/>
    <w:p>
      <w:pPr>
        <w:pStyle w:val="Heading3"/>
      </w:pPr>
      <w:r>
        <w:t xml:space="preserve">Буклет. Эстафета добрых дел</w:t>
      </w:r>
    </w:p>
    <w:p>
      <w:pPr>
        <w:pStyle w:val="FirstParagraph"/>
      </w:pPr>
      <w:r>
        <w:t xml:space="preserve">23.11.2018</w:t>
      </w:r>
    </w:p>
    <w:p>
      <w:pPr>
        <w:pStyle w:val="BodyText"/>
      </w:pPr>
      <w:hyperlink r:id="rId20">
        <w:r>
          <w:rPr>
            <w:rStyle w:val="Hyperlink"/>
          </w:rPr>
          <w:t xml:space="preserve">Буклет. Эстафета добрых дел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http://preobr.mos.ru/anti-corruption1/methodical-materials/detail/7718165.html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892/buklet.-estafeta-dobrykh-del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anti-corruption1/methodical-materials/detail/7718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892/buklet.-estafeta-dobrykh-del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anti-corruption1/methodical-materials/detail/7718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2024-09-27T04:48:42Z</dcterms:created>
  <dcterms:modified xsi:type="dcterms:W3CDTF">2024-09-27T04:48:42Z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