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f18042ac1a5ed017618ecba04291b7c395d95"/>
    <w:p>
      <w:pPr>
        <w:pStyle w:val="Heading3"/>
      </w:pPr>
      <w:r>
        <w:t xml:space="preserve">Памятка «Административная ответственность юридических лиц за совершение правонарушений коррупционной направленности»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«Административная ответственность юридических лиц за совершение правонарушений коррупционной направленности»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http://preobr.mos.ru/anti-corruption1/methodical-materials/detail/7718103.html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c9d/yurlica_2017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718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c9d/yurlica_2017.pdf" TargetMode="Externa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anti-corruption1/methodical-materials/detail/7718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2024-09-27T04:48:33Z</dcterms:created>
  <dcterms:modified xsi:type="dcterms:W3CDTF">2024-09-27T04:48:33Z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