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ef8a90cf7874f41a310435242f1cff18112a771"/>
    <w:p>
      <w:pPr>
        <w:pStyle w:val="Heading3"/>
      </w:pPr>
      <w:r>
        <w:t xml:space="preserve">Установлен порядок проведения антикоррупционной экспертизы нормативных актов и проектов нормативных актов Банка России</w:t>
      </w:r>
    </w:p>
    <w:p>
      <w:pPr>
        <w:pStyle w:val="FirstParagraph"/>
      </w:pPr>
      <w:r>
        <w:t xml:space="preserve">26.12.2016</w:t>
      </w:r>
    </w:p>
    <w:p>
      <w:pPr>
        <w:pStyle w:val="BodyText"/>
      </w:pPr>
      <w:r>
        <w:rPr>
          <w:iCs/>
          <w:i/>
        </w:rPr>
        <w:t xml:space="preserve">Указанием Банка России от 17.10.2016 N 4164-У "О порядке проведения антикоррупционной экспертизы нормативных актов и проектов нормативных актов Банка России" установлен порядок проведения антикоррупционной экспертизы нормативных актов и проектов нормативных актов Банка России.</w:t>
      </w:r>
    </w:p>
    <w:p>
      <w:pPr>
        <w:pStyle w:val="BodyText"/>
      </w:pPr>
      <w:r>
        <w:t xml:space="preserve">Антикоррупционная экспертиза проводится в целях выявления в них коррупциогенных факторов и их последующего устранения.</w:t>
      </w:r>
    </w:p>
    <w:p>
      <w:pPr>
        <w:pStyle w:val="BodyText"/>
      </w:pPr>
      <w:r>
        <w:t xml:space="preserve">Антикоррупционная экспертиза проводится Юридическим департаментом Банка России. При этом проекты нормативных правовых актов, подлежащих направлению на государственную регистрацию в Минюст России, подлежат также независимой антикоррупционной экспертизе юридическими и физическими лицами, аккредитованными Минюстом России, а также направлению для размещения на сайте regulation.gov.ru на срок не менее 7 дней.</w:t>
      </w:r>
    </w:p>
    <w:p>
      <w:pPr>
        <w:pStyle w:val="BodyText"/>
      </w:pPr>
      <w:r>
        <w:t xml:space="preserve">Антикоррупционная экспертиза нормативных правовых актов Банка России проводится при мониторинге их применения в целях своевременного выявления и устранения коррупциогенных факторов. Мониторинг ведется на постоянной основе ответственными структурными подразделениями или их правопреемниками.</w:t>
      </w:r>
    </w:p>
    <w:p>
      <w:pPr>
        <w:pStyle w:val="BodyText"/>
      </w:pPr>
      <w:r>
        <w:t xml:space="preserve">В приложении к Указанию приведена рекомендуемая форма заключения о проведении антикоррупционной экспертизы.</w:t>
      </w:r>
    </w:p>
    <w:p>
      <w:pPr>
        <w:pStyle w:val="BodyText"/>
      </w:pPr>
      <w:r>
        <w:t xml:space="preserve">Не подлежащими применению признаются Приказ ФСФР России от 01.12.</w:t>
      </w:r>
      <w:r>
        <w:t xml:space="preserve"> </w:t>
      </w:r>
      <w:bookmarkStart w:id="20" w:name="X1207a264b4c9f4df21fde20366a046b31aef217"/>
      <w:bookmarkEnd w:id="20"/>
      <w:r>
        <w:t xml:space="preserve"> </w:t>
      </w:r>
      <w:r>
        <w:t xml:space="preserve">2009 N 09-50/пз-н "Об утверждении Порядка проведения антикоррупционной экспертизы нормативных правовых актов (проектов нормативных правовых актов) ФСФР России" и Приказ ФСФР России от 18.05.2010 N 10-32-пз-н "О внесении изменений в Порядок проведения антикоррупционной экспертизы нормативных правовых актов (проектов нормативных правовых актов) ФСФР России, утвержденный приказом Федеральной службы по финансовым рынкам от 1 декабря 2009 г. N 09-50-пз-н".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http://preobr.mos.ru/anti-corruption1/anti-corruption-expertise/detail/4531943.html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preobr.mos.ru" TargetMode="External" /><Relationship Type="http://schemas.openxmlformats.org/officeDocument/2006/relationships/hyperlink" Id="rId21" Target="http://preobr.mos.ru/anti-corruption1/anti-corruption-expertise/detail/453194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preobr.mos.ru" TargetMode="External" /><Relationship Type="http://schemas.openxmlformats.org/officeDocument/2006/relationships/hyperlink" Id="rId21" Target="http://preobr.mos.ru/anti-corruption1/anti-corruption-expertise/detail/453194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2024-09-27T04:52:27Z</dcterms:created>
  <dcterms:modified xsi:type="dcterms:W3CDTF">2024-09-27T04:52:27Z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